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16" w:rsidRPr="007C4716" w:rsidRDefault="007C4716" w:rsidP="007C4716">
      <w:pPr>
        <w:jc w:val="center"/>
        <w:rPr>
          <w:b/>
          <w:sz w:val="28"/>
          <w:szCs w:val="28"/>
        </w:rPr>
      </w:pPr>
      <w:r w:rsidRPr="007C4716">
        <w:rPr>
          <w:b/>
          <w:sz w:val="28"/>
          <w:szCs w:val="28"/>
        </w:rPr>
        <w:t>LANDMARK SUPREME COURT CASES ELESSONS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Dred Scott v. Sanford (1857) – Slavery and the Fugitive Slave Clause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Plessy v. Ferguson (1896) – Separate but equal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Marbury v. Madison (1803) – Judicial Review or Judicial Activism?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McCulloch v. Maryland (1819) – Federal Power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Gibbons v. Ogden (1824) – Commerce Clause, Federalism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Reynolds v. United States (1878) – Free Exercise of Religion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Quincy Railways v. Chicago (1897) – Just Compensation, Incorporation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proofErr w:type="spellStart"/>
      <w:r>
        <w:t>Strauder</w:t>
      </w:r>
      <w:proofErr w:type="spellEnd"/>
      <w:r>
        <w:t xml:space="preserve"> v. West Virginia (1879) and Smith v. State of Texas (1941) – Fourteenth Amendment, Equal Protection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 xml:space="preserve">Hammer v. </w:t>
      </w:r>
      <w:proofErr w:type="spellStart"/>
      <w:r>
        <w:t>Dagenhart</w:t>
      </w:r>
      <w:proofErr w:type="spellEnd"/>
      <w:r>
        <w:t xml:space="preserve"> (1918) – Commerce Clause, Federalism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Olmstead v. United States (1927) – Fourth Amendment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Near v. Minnesota (1931) – Freedom of the Press, Prior Restraint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Cantwell v. Connecticut (1940) – Free Exercise of Religion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 xml:space="preserve">Minersville School District v. </w:t>
      </w:r>
      <w:proofErr w:type="spellStart"/>
      <w:r>
        <w:t>Gobitis</w:t>
      </w:r>
      <w:proofErr w:type="spellEnd"/>
      <w:r>
        <w:t xml:space="preserve"> (1940) – Freedom of Speech, Religion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 xml:space="preserve">United States v. </w:t>
      </w:r>
      <w:proofErr w:type="spellStart"/>
      <w:r>
        <w:t>Causby</w:t>
      </w:r>
      <w:proofErr w:type="spellEnd"/>
      <w:r>
        <w:t xml:space="preserve"> (1946) – Eminent Domain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Youngstown Sheet and Tube Co. v. Sawyer (1952) – Executive Power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Brown v. Board of Education (1954) – Equal Protection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Mapp v. Ohio (1961) – Fourth Amendment, Exclusionary Rule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Engel v. Vitale (1962) – Freedom of Religion, Establishment Clause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Edwards v. South Carolina (1963) – Freedom of Speech and Assembly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Gideon v. Wainwright (1963) – Sixth Amendment, Right to Counsel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New York Times v. Sullivan (1964) – Freedom of the Press, Libel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Griswold v. Connecticut (1965) – Personal Liberty, Privacy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Miranda v. Arizona (1966) – Criminal Procedure and the Fifth Amendment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Loving v. Virginia (1967) – Equal Protection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Skokie (1977) and Brandenburg (1968) – Freedom of Speech and Assembly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Tinker v. Des Moines (1969) – Freedom of Speech, Students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New York Times v. United States (1971)  – Freedom of the Press, Prior Restraint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Roe v. Wade (1973) – Personal Liberty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Taylor v. Louisiana (1975) – Juries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Gregg v. Georgia (1976) – Eighth Amendment, Death Penalty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Island Trees School District v. Pico (1982) – Freedom of Speech, Students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New Jersey v. T.L.O. (1985) – Fourth Amendment, Students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Bethel v. Fraser (1986) – Freedom of Speech, Students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South Dakota v. Dole (1987) – Federal Power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Allegheny County v. ACLU (1989) – Freedom of Religion, Establishment Cause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Texas v. Johnson (1989) – Freedom of Speech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lastRenderedPageBreak/>
        <w:t>Lee v. Weisman (1992) – Freedom of Religion, Establishment Clause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Lucas v. South Carolina Coastal Commission (1992) – Eminent Domain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J.E.B. v. Alabama (1994) – Representative Juries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United States v. Lopez (1995) – Commerce Clause, Federalism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proofErr w:type="spellStart"/>
      <w:r>
        <w:t>Schenck</w:t>
      </w:r>
      <w:proofErr w:type="spellEnd"/>
      <w:r>
        <w:t xml:space="preserve"> v. Pro-Choice Network (1996) – Freedom of Speech and Assembly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Dickerson v. United States (1999) – Rights of the Accused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 xml:space="preserve">Owasso v. </w:t>
      </w:r>
      <w:proofErr w:type="spellStart"/>
      <w:r>
        <w:t>Falvo</w:t>
      </w:r>
      <w:proofErr w:type="spellEnd"/>
      <w:r>
        <w:t xml:space="preserve"> (2001) – Privacy, Students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Zelman v. Simmons-Harris (2002) – Freedom of Religion, Establishment Clause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Pottawatomie v. Earls (2002) – Fourth Amendment, Students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proofErr w:type="spellStart"/>
      <w:r>
        <w:t>Hiibel</w:t>
      </w:r>
      <w:proofErr w:type="spellEnd"/>
      <w:r>
        <w:t xml:space="preserve"> v. Sixth Judicial District Court of Nevada (2003) – Fourth Amendment, Fifth Amendment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Locke v. Davey (2004) – Free Exercise of Religion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proofErr w:type="spellStart"/>
      <w:r>
        <w:t>Hamdi</w:t>
      </w:r>
      <w:proofErr w:type="spellEnd"/>
      <w:r>
        <w:t xml:space="preserve"> v. Rumsfeld (2004) – Executive Power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 xml:space="preserve">Gonzales v. </w:t>
      </w:r>
      <w:proofErr w:type="spellStart"/>
      <w:r>
        <w:t>Raich</w:t>
      </w:r>
      <w:proofErr w:type="spellEnd"/>
      <w:r>
        <w:t xml:space="preserve"> (2004) – Commerce Clause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 xml:space="preserve">MGM Studios v. </w:t>
      </w:r>
      <w:proofErr w:type="spellStart"/>
      <w:r>
        <w:t>Grokster</w:t>
      </w:r>
      <w:proofErr w:type="spellEnd"/>
      <w:r>
        <w:t xml:space="preserve"> (2005) – Property Rights, Copyright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proofErr w:type="spellStart"/>
      <w:r>
        <w:t>Kelo</w:t>
      </w:r>
      <w:proofErr w:type="spellEnd"/>
      <w:r>
        <w:t xml:space="preserve"> v. New London (2005) – Eminent Domain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Morse v. Frederick (2007) – Freedom of Speech, Students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F.E.C. v. Wisconsin Right to Life (2007) – Freedom of Speech, Campaign Finance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District of Columbia v. Heller (2008) – Second Amendment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McDonald v. Chicago (2010) – Second Amendment</w:t>
      </w:r>
    </w:p>
    <w:p w:rsidR="007C4716" w:rsidRDefault="007C4716" w:rsidP="007C4716">
      <w:pPr>
        <w:pStyle w:val="ListParagraph"/>
        <w:numPr>
          <w:ilvl w:val="0"/>
          <w:numId w:val="1"/>
        </w:numPr>
      </w:pPr>
      <w:r>
        <w:t>Citizens United v. F.E.C. (2010) – Freedom of Speech, Campaign Finance</w:t>
      </w:r>
    </w:p>
    <w:p w:rsidR="00710369" w:rsidRDefault="007C4716" w:rsidP="007C4716">
      <w:pPr>
        <w:pStyle w:val="ListParagraph"/>
        <w:numPr>
          <w:ilvl w:val="0"/>
          <w:numId w:val="1"/>
        </w:numPr>
      </w:pPr>
      <w:r>
        <w:t>Florence v. The Board of Chosen Freeholder (2011) – Search and Seizure</w:t>
      </w:r>
    </w:p>
    <w:sectPr w:rsidR="0071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446"/>
    <w:multiLevelType w:val="hybridMultilevel"/>
    <w:tmpl w:val="24E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16"/>
    <w:rsid w:val="00710369"/>
    <w:rsid w:val="007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>LAUSD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1</cp:revision>
  <dcterms:created xsi:type="dcterms:W3CDTF">2015-12-02T17:36:00Z</dcterms:created>
  <dcterms:modified xsi:type="dcterms:W3CDTF">2015-12-02T17:37:00Z</dcterms:modified>
</cp:coreProperties>
</file>