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5E" w:rsidRPr="00E85F5E" w:rsidRDefault="00E85F5E" w:rsidP="00E85F5E">
      <w:pPr>
        <w:shd w:val="clear" w:color="auto" w:fill="B77033"/>
        <w:spacing w:after="100" w:line="294" w:lineRule="atLeast"/>
        <w:textAlignment w:val="baseline"/>
        <w:outlineLvl w:val="1"/>
        <w:rPr>
          <w:rFonts w:ascii="Helvetica" w:eastAsia="Times New Roman" w:hAnsi="Helvetica" w:cs="Helvetica"/>
          <w:b/>
          <w:bCs/>
          <w:color w:val="FFFFFF"/>
          <w:sz w:val="36"/>
          <w:szCs w:val="36"/>
        </w:rPr>
      </w:pPr>
      <w:r w:rsidRPr="00E85F5E">
        <w:rPr>
          <w:rFonts w:ascii="inherit" w:eastAsia="Times New Roman" w:hAnsi="inherit" w:cs="Helvetica"/>
          <w:b/>
          <w:bCs/>
          <w:color w:val="FFFFFF"/>
          <w:sz w:val="36"/>
          <w:szCs w:val="36"/>
          <w:bdr w:val="none" w:sz="0" w:space="0" w:color="auto" w:frame="1"/>
        </w:rPr>
        <w:t>Law of supply</w:t>
      </w:r>
    </w:p>
    <w:p w:rsidR="00E85F5E" w:rsidRPr="00E85F5E" w:rsidRDefault="00E85F5E" w:rsidP="00E85F5E">
      <w:pPr>
        <w:spacing w:line="294" w:lineRule="atLeast"/>
        <w:textAlignment w:val="baseline"/>
        <w:outlineLvl w:val="1"/>
        <w:rPr>
          <w:rFonts w:ascii="Helvetica" w:eastAsia="Times New Roman" w:hAnsi="Helvetica" w:cs="Helvetica"/>
          <w:b/>
          <w:bCs/>
          <w:color w:val="111111"/>
          <w:sz w:val="30"/>
          <w:szCs w:val="30"/>
        </w:rPr>
      </w:pPr>
      <w:r w:rsidRPr="00E85F5E">
        <w:rPr>
          <w:rFonts w:ascii="inherit" w:eastAsia="Times New Roman" w:hAnsi="inherit" w:cs="Helvetica"/>
          <w:b/>
          <w:bCs/>
          <w:color w:val="111111"/>
          <w:sz w:val="30"/>
          <w:szCs w:val="30"/>
          <w:bdr w:val="none" w:sz="0" w:space="0" w:color="auto" w:frame="1"/>
        </w:rPr>
        <w:t>Key points</w:t>
      </w:r>
    </w:p>
    <w:p w:rsidR="00E85F5E" w:rsidRPr="00E85F5E" w:rsidRDefault="00E85F5E" w:rsidP="00E85F5E">
      <w:pPr>
        <w:numPr>
          <w:ilvl w:val="0"/>
          <w:numId w:val="1"/>
        </w:numPr>
        <w:spacing w:after="0" w:line="294" w:lineRule="atLeast"/>
        <w:ind w:left="0"/>
        <w:textAlignment w:val="baseline"/>
        <w:rPr>
          <w:rFonts w:ascii="inherit" w:eastAsia="Times New Roman" w:hAnsi="inherit" w:cs="Helvetica"/>
          <w:color w:val="444444"/>
          <w:sz w:val="21"/>
          <w:szCs w:val="21"/>
        </w:rPr>
      </w:pPr>
      <w:r w:rsidRPr="00E85F5E">
        <w:rPr>
          <w:rFonts w:ascii="inherit" w:eastAsia="Times New Roman" w:hAnsi="inherit" w:cs="Helvetica"/>
          <w:b/>
          <w:bCs/>
          <w:color w:val="444444"/>
          <w:sz w:val="21"/>
          <w:szCs w:val="21"/>
          <w:bdr w:val="none" w:sz="0" w:space="0" w:color="auto" w:frame="1"/>
        </w:rPr>
        <w:t>The law of supply</w:t>
      </w:r>
      <w:r w:rsidRPr="00E85F5E">
        <w:rPr>
          <w:rFonts w:ascii="inherit" w:eastAsia="Times New Roman" w:hAnsi="inherit" w:cs="Helvetica"/>
          <w:color w:val="444444"/>
          <w:sz w:val="21"/>
          <w:szCs w:val="21"/>
          <w:bdr w:val="none" w:sz="0" w:space="0" w:color="auto" w:frame="1"/>
        </w:rPr>
        <w:t> states that a higher price leads to a higher quantity supplied and a lower price leads to a lower quantity supplied.</w:t>
      </w:r>
    </w:p>
    <w:p w:rsidR="00E85F5E" w:rsidRPr="00E85F5E" w:rsidRDefault="00E85F5E" w:rsidP="00E85F5E">
      <w:pPr>
        <w:numPr>
          <w:ilvl w:val="0"/>
          <w:numId w:val="1"/>
        </w:numPr>
        <w:spacing w:line="294" w:lineRule="atLeast"/>
        <w:ind w:left="0"/>
        <w:textAlignment w:val="baseline"/>
        <w:rPr>
          <w:rFonts w:ascii="inherit" w:eastAsia="Times New Roman" w:hAnsi="inherit" w:cs="Helvetica"/>
          <w:color w:val="444444"/>
          <w:sz w:val="21"/>
          <w:szCs w:val="21"/>
        </w:rPr>
      </w:pPr>
      <w:r w:rsidRPr="00E85F5E">
        <w:rPr>
          <w:rFonts w:ascii="inherit" w:eastAsia="Times New Roman" w:hAnsi="inherit" w:cs="Helvetica"/>
          <w:b/>
          <w:bCs/>
          <w:color w:val="444444"/>
          <w:sz w:val="21"/>
          <w:szCs w:val="21"/>
          <w:bdr w:val="none" w:sz="0" w:space="0" w:color="auto" w:frame="1"/>
        </w:rPr>
        <w:t>Supply curves and supply schedules</w:t>
      </w:r>
      <w:r w:rsidRPr="00E85F5E">
        <w:rPr>
          <w:rFonts w:ascii="inherit" w:eastAsia="Times New Roman" w:hAnsi="inherit" w:cs="Helvetica"/>
          <w:color w:val="444444"/>
          <w:sz w:val="21"/>
          <w:szCs w:val="21"/>
          <w:bdr w:val="none" w:sz="0" w:space="0" w:color="auto" w:frame="1"/>
        </w:rPr>
        <w:t> are tools used to summarize the relationship between supply and price.</w:t>
      </w:r>
    </w:p>
    <w:p w:rsidR="00E85F5E" w:rsidRPr="00E85F5E" w:rsidRDefault="00E85F5E" w:rsidP="00E85F5E">
      <w:pPr>
        <w:spacing w:line="294" w:lineRule="atLeast"/>
        <w:textAlignment w:val="baseline"/>
        <w:outlineLvl w:val="1"/>
        <w:rPr>
          <w:rFonts w:ascii="Helvetica" w:eastAsia="Times New Roman" w:hAnsi="Helvetica" w:cs="Helvetica"/>
          <w:b/>
          <w:bCs/>
          <w:color w:val="111111"/>
          <w:sz w:val="30"/>
          <w:szCs w:val="30"/>
        </w:rPr>
      </w:pPr>
      <w:r w:rsidRPr="00E85F5E">
        <w:rPr>
          <w:rFonts w:ascii="inherit" w:eastAsia="Times New Roman" w:hAnsi="inherit" w:cs="Helvetica"/>
          <w:b/>
          <w:bCs/>
          <w:color w:val="111111"/>
          <w:sz w:val="30"/>
          <w:szCs w:val="30"/>
          <w:bdr w:val="none" w:sz="0" w:space="0" w:color="auto" w:frame="1"/>
        </w:rPr>
        <w:t>Supply of goods and services</w:t>
      </w: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When economists talk about </w:t>
      </w:r>
      <w:r w:rsidRPr="00E85F5E">
        <w:rPr>
          <w:rFonts w:ascii="inherit" w:eastAsia="Times New Roman" w:hAnsi="inherit" w:cs="Helvetica"/>
          <w:b/>
          <w:bCs/>
          <w:color w:val="444444"/>
          <w:sz w:val="21"/>
          <w:szCs w:val="21"/>
          <w:bdr w:val="none" w:sz="0" w:space="0" w:color="auto" w:frame="1"/>
        </w:rPr>
        <w:t>supply</w:t>
      </w:r>
      <w:r w:rsidRPr="00E85F5E">
        <w:rPr>
          <w:rFonts w:ascii="inherit" w:eastAsia="Times New Roman" w:hAnsi="inherit" w:cs="Helvetica"/>
          <w:color w:val="444444"/>
          <w:sz w:val="21"/>
          <w:szCs w:val="21"/>
          <w:bdr w:val="none" w:sz="0" w:space="0" w:color="auto" w:frame="1"/>
        </w:rPr>
        <w:t>, they mean the amount of some good or service a producer is willing to supply at each price. Price is what the producer receives for selling </w:t>
      </w:r>
      <w:r w:rsidRPr="00E85F5E">
        <w:rPr>
          <w:rFonts w:ascii="inherit" w:eastAsia="Times New Roman" w:hAnsi="inherit" w:cs="Helvetica"/>
          <w:b/>
          <w:bCs/>
          <w:color w:val="444444"/>
          <w:sz w:val="21"/>
          <w:szCs w:val="21"/>
          <w:bdr w:val="none" w:sz="0" w:space="0" w:color="auto" w:frame="1"/>
        </w:rPr>
        <w:t>one unit of a good or service</w:t>
      </w:r>
      <w:r w:rsidRPr="00E85F5E">
        <w:rPr>
          <w:rFonts w:ascii="inherit" w:eastAsia="Times New Roman" w:hAnsi="inherit" w:cs="Helvetica"/>
          <w:color w:val="444444"/>
          <w:sz w:val="21"/>
          <w:szCs w:val="21"/>
          <w:bdr w:val="none" w:sz="0" w:space="0" w:color="auto" w:frame="1"/>
        </w:rPr>
        <w:t>. A rise in price almost always leads to an increase in the </w:t>
      </w:r>
      <w:r w:rsidRPr="00E85F5E">
        <w:rPr>
          <w:rFonts w:ascii="inherit" w:eastAsia="Times New Roman" w:hAnsi="inherit" w:cs="Helvetica"/>
          <w:b/>
          <w:bCs/>
          <w:color w:val="444444"/>
          <w:sz w:val="21"/>
          <w:szCs w:val="21"/>
          <w:bdr w:val="none" w:sz="0" w:space="0" w:color="auto" w:frame="1"/>
        </w:rPr>
        <w:t>quantity supplied</w:t>
      </w:r>
      <w:r w:rsidRPr="00E85F5E">
        <w:rPr>
          <w:rFonts w:ascii="inherit" w:eastAsia="Times New Roman" w:hAnsi="inherit" w:cs="Helvetica"/>
          <w:color w:val="444444"/>
          <w:sz w:val="21"/>
          <w:szCs w:val="21"/>
          <w:bdr w:val="none" w:sz="0" w:space="0" w:color="auto" w:frame="1"/>
        </w:rPr>
        <w:t> of that good or service, while a fall in price will decrease the quantity supplied. When the price of gasoline rises, for example, it encourages profit-seeking firms to take several actions: expand exploration for oil reserves; drill for more oil; invest in more pipelines and oil tankers to bring the oil to plants where it can be refined into gasoline; build new oil refineries; purchase additional pipelines and trucks to ship the gasoline to gas stations; and open more gas stations or keep existing gas stations open longer hours. Economists call this positive relationship between price and quantity supplied—that a higher price leads to a higher quantity supplied and a lower price leads to a lower quantity supplied—</w:t>
      </w:r>
      <w:r w:rsidRPr="00E85F5E">
        <w:rPr>
          <w:rFonts w:ascii="inherit" w:eastAsia="Times New Roman" w:hAnsi="inherit" w:cs="Helvetica"/>
          <w:b/>
          <w:bCs/>
          <w:color w:val="444444"/>
          <w:sz w:val="21"/>
          <w:szCs w:val="21"/>
          <w:bdr w:val="none" w:sz="0" w:space="0" w:color="auto" w:frame="1"/>
        </w:rPr>
        <w:t>the law of supply</w:t>
      </w:r>
      <w:r w:rsidRPr="00E85F5E">
        <w:rPr>
          <w:rFonts w:ascii="inherit" w:eastAsia="Times New Roman" w:hAnsi="inherit" w:cs="Helvetica"/>
          <w:color w:val="444444"/>
          <w:sz w:val="21"/>
          <w:szCs w:val="21"/>
          <w:bdr w:val="none" w:sz="0" w:space="0" w:color="auto" w:frame="1"/>
        </w:rPr>
        <w:t>. The law of supply assumes that all other variables that affect supply are held constant.</w:t>
      </w:r>
    </w:p>
    <w:p w:rsidR="00E85F5E" w:rsidRPr="00E85F5E" w:rsidRDefault="00E85F5E" w:rsidP="00E85F5E">
      <w:pPr>
        <w:spacing w:line="294" w:lineRule="atLeast"/>
        <w:textAlignment w:val="baseline"/>
        <w:outlineLvl w:val="1"/>
        <w:rPr>
          <w:rFonts w:ascii="Helvetica" w:eastAsia="Times New Roman" w:hAnsi="Helvetica" w:cs="Helvetica"/>
          <w:b/>
          <w:bCs/>
          <w:color w:val="111111"/>
          <w:sz w:val="30"/>
          <w:szCs w:val="30"/>
        </w:rPr>
      </w:pPr>
      <w:r w:rsidRPr="00E85F5E">
        <w:rPr>
          <w:rFonts w:ascii="inherit" w:eastAsia="Times New Roman" w:hAnsi="inherit" w:cs="Helvetica"/>
          <w:b/>
          <w:bCs/>
          <w:color w:val="111111"/>
          <w:sz w:val="30"/>
          <w:szCs w:val="30"/>
          <w:bdr w:val="none" w:sz="0" w:space="0" w:color="auto" w:frame="1"/>
        </w:rPr>
        <w:t>Supply schedule and supply curve</w:t>
      </w:r>
    </w:p>
    <w:p w:rsidR="00E85F5E" w:rsidRPr="00E85F5E" w:rsidRDefault="00E85F5E" w:rsidP="00E85F5E">
      <w:pPr>
        <w:numPr>
          <w:ilvl w:val="0"/>
          <w:numId w:val="2"/>
        </w:numPr>
        <w:spacing w:after="0" w:line="294" w:lineRule="atLeast"/>
        <w:ind w:left="0"/>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A </w:t>
      </w:r>
      <w:r w:rsidRPr="00E85F5E">
        <w:rPr>
          <w:rFonts w:ascii="inherit" w:eastAsia="Times New Roman" w:hAnsi="inherit" w:cs="Helvetica"/>
          <w:b/>
          <w:bCs/>
          <w:color w:val="444444"/>
          <w:sz w:val="21"/>
          <w:szCs w:val="21"/>
          <w:bdr w:val="none" w:sz="0" w:space="0" w:color="auto" w:frame="1"/>
        </w:rPr>
        <w:t>supply schedule</w:t>
      </w:r>
      <w:r w:rsidRPr="00E85F5E">
        <w:rPr>
          <w:rFonts w:ascii="inherit" w:eastAsia="Times New Roman" w:hAnsi="inherit" w:cs="Helvetica"/>
          <w:color w:val="444444"/>
          <w:sz w:val="21"/>
          <w:szCs w:val="21"/>
          <w:bdr w:val="none" w:sz="0" w:space="0" w:color="auto" w:frame="1"/>
        </w:rPr>
        <w:t> is a </w:t>
      </w:r>
      <w:r w:rsidRPr="00E85F5E">
        <w:rPr>
          <w:rFonts w:ascii="inherit" w:eastAsia="Times New Roman" w:hAnsi="inherit" w:cs="Helvetica"/>
          <w:b/>
          <w:bCs/>
          <w:color w:val="444444"/>
          <w:sz w:val="21"/>
          <w:szCs w:val="21"/>
          <w:bdr w:val="none" w:sz="0" w:space="0" w:color="auto" w:frame="1"/>
        </w:rPr>
        <w:t>table</w:t>
      </w:r>
      <w:r w:rsidRPr="00E85F5E">
        <w:rPr>
          <w:rFonts w:ascii="inherit" w:eastAsia="Times New Roman" w:hAnsi="inherit" w:cs="Helvetica"/>
          <w:color w:val="444444"/>
          <w:sz w:val="21"/>
          <w:szCs w:val="21"/>
          <w:bdr w:val="none" w:sz="0" w:space="0" w:color="auto" w:frame="1"/>
        </w:rPr>
        <w:t> that shows the quantity supplied at each price.</w:t>
      </w:r>
    </w:p>
    <w:p w:rsidR="00E85F5E" w:rsidRPr="00E85F5E" w:rsidRDefault="00E85F5E" w:rsidP="00E85F5E">
      <w:pPr>
        <w:numPr>
          <w:ilvl w:val="0"/>
          <w:numId w:val="2"/>
        </w:numPr>
        <w:spacing w:line="294" w:lineRule="atLeast"/>
        <w:ind w:left="0"/>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A </w:t>
      </w:r>
      <w:r w:rsidRPr="00E85F5E">
        <w:rPr>
          <w:rFonts w:ascii="inherit" w:eastAsia="Times New Roman" w:hAnsi="inherit" w:cs="Helvetica"/>
          <w:b/>
          <w:bCs/>
          <w:color w:val="444444"/>
          <w:sz w:val="21"/>
          <w:szCs w:val="21"/>
          <w:bdr w:val="none" w:sz="0" w:space="0" w:color="auto" w:frame="1"/>
        </w:rPr>
        <w:t>supply curve</w:t>
      </w:r>
      <w:r w:rsidRPr="00E85F5E">
        <w:rPr>
          <w:rFonts w:ascii="inherit" w:eastAsia="Times New Roman" w:hAnsi="inherit" w:cs="Helvetica"/>
          <w:color w:val="444444"/>
          <w:sz w:val="21"/>
          <w:szCs w:val="21"/>
          <w:bdr w:val="none" w:sz="0" w:space="0" w:color="auto" w:frame="1"/>
        </w:rPr>
        <w:t> is a </w:t>
      </w:r>
      <w:r w:rsidRPr="00E85F5E">
        <w:rPr>
          <w:rFonts w:ascii="inherit" w:eastAsia="Times New Roman" w:hAnsi="inherit" w:cs="Helvetica"/>
          <w:b/>
          <w:bCs/>
          <w:color w:val="444444"/>
          <w:sz w:val="21"/>
          <w:szCs w:val="21"/>
          <w:bdr w:val="none" w:sz="0" w:space="0" w:color="auto" w:frame="1"/>
        </w:rPr>
        <w:t>graph</w:t>
      </w:r>
      <w:r w:rsidRPr="00E85F5E">
        <w:rPr>
          <w:rFonts w:ascii="inherit" w:eastAsia="Times New Roman" w:hAnsi="inherit" w:cs="Helvetica"/>
          <w:color w:val="444444"/>
          <w:sz w:val="21"/>
          <w:szCs w:val="21"/>
          <w:bdr w:val="none" w:sz="0" w:space="0" w:color="auto" w:frame="1"/>
        </w:rPr>
        <w:t> that shows the quantity supplied at each price.</w:t>
      </w:r>
      <w:bookmarkStart w:id="0" w:name="_GoBack"/>
      <w:bookmarkEnd w:id="0"/>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Here's an example of a supply schedule from the market for gasoline.</w:t>
      </w:r>
    </w:p>
    <w:tbl>
      <w:tblPr>
        <w:tblStyle w:val="GridTable2-Accent5"/>
        <w:tblW w:w="0" w:type="auto"/>
        <w:tblLook w:val="04A0" w:firstRow="1" w:lastRow="0" w:firstColumn="1" w:lastColumn="0" w:noHBand="0" w:noVBand="1"/>
      </w:tblPr>
      <w:tblGrid>
        <w:gridCol w:w="2538"/>
        <w:gridCol w:w="7038"/>
      </w:tblGrid>
      <w:tr w:rsidR="00E85F5E" w:rsidTr="00E8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Price (per gallon)</w:t>
            </w:r>
          </w:p>
        </w:tc>
        <w:tc>
          <w:tcPr>
            <w:tcW w:w="7038" w:type="dxa"/>
          </w:tcPr>
          <w:p w:rsidR="00E85F5E" w:rsidRPr="00E85F5E" w:rsidRDefault="00E85F5E" w:rsidP="00E85F5E">
            <w:pPr>
              <w:spacing w:line="294"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inherit" w:eastAsia="Times New Roman" w:hAnsi="inherit" w:cs="Helvetica"/>
                <w:color w:val="444444"/>
                <w:sz w:val="21"/>
                <w:szCs w:val="21"/>
                <w:bdr w:val="none" w:sz="0" w:space="0" w:color="auto" w:frame="1"/>
              </w:rPr>
            </w:pPr>
            <w:r w:rsidRPr="00E85F5E">
              <w:rPr>
                <w:rFonts w:ascii="inherit" w:eastAsia="Times New Roman" w:hAnsi="inherit" w:cs="Helvetica"/>
                <w:color w:val="444444"/>
                <w:sz w:val="21"/>
                <w:szCs w:val="21"/>
                <w:bdr w:val="none" w:sz="0" w:space="0" w:color="auto" w:frame="1"/>
              </w:rPr>
              <w:t>Quantity Supplied (millions of gallons)</w:t>
            </w:r>
          </w:p>
        </w:tc>
      </w:tr>
      <w:tr w:rsidR="00E85F5E" w:rsidTr="00E8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$1.00</w:t>
            </w:r>
          </w:p>
        </w:tc>
        <w:tc>
          <w:tcPr>
            <w:tcW w:w="7038" w:type="dxa"/>
          </w:tcPr>
          <w:p w:rsidR="00E85F5E" w:rsidRPr="00E85F5E" w:rsidRDefault="00E85F5E" w:rsidP="00E85F5E">
            <w:pPr>
              <w:spacing w:line="294"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500</w:t>
            </w:r>
          </w:p>
        </w:tc>
      </w:tr>
      <w:tr w:rsidR="00E85F5E" w:rsidTr="00E85F5E">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$1.20</w:t>
            </w:r>
          </w:p>
        </w:tc>
        <w:tc>
          <w:tcPr>
            <w:tcW w:w="7038" w:type="dxa"/>
          </w:tcPr>
          <w:p w:rsidR="00E85F5E" w:rsidRPr="00E85F5E" w:rsidRDefault="00E85F5E" w:rsidP="00E85F5E">
            <w:pPr>
              <w:spacing w:line="294"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550</w:t>
            </w:r>
          </w:p>
        </w:tc>
      </w:tr>
      <w:tr w:rsidR="00E85F5E" w:rsidTr="00E8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$1.40</w:t>
            </w:r>
          </w:p>
        </w:tc>
        <w:tc>
          <w:tcPr>
            <w:tcW w:w="7038" w:type="dxa"/>
          </w:tcPr>
          <w:p w:rsidR="00E85F5E" w:rsidRPr="00E85F5E" w:rsidRDefault="00E85F5E" w:rsidP="00E85F5E">
            <w:pPr>
              <w:spacing w:line="294"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600</w:t>
            </w:r>
          </w:p>
        </w:tc>
      </w:tr>
      <w:tr w:rsidR="00E85F5E" w:rsidTr="00E85F5E">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$1.60</w:t>
            </w:r>
          </w:p>
        </w:tc>
        <w:tc>
          <w:tcPr>
            <w:tcW w:w="7038" w:type="dxa"/>
          </w:tcPr>
          <w:p w:rsidR="00E85F5E" w:rsidRPr="00E85F5E" w:rsidRDefault="00E85F5E" w:rsidP="00E85F5E">
            <w:pPr>
              <w:spacing w:line="294"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640</w:t>
            </w:r>
          </w:p>
        </w:tc>
      </w:tr>
      <w:tr w:rsidR="00E85F5E" w:rsidTr="00E8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$1.80</w:t>
            </w:r>
          </w:p>
        </w:tc>
        <w:tc>
          <w:tcPr>
            <w:tcW w:w="7038" w:type="dxa"/>
          </w:tcPr>
          <w:p w:rsidR="00E85F5E" w:rsidRPr="00E85F5E" w:rsidRDefault="00E85F5E" w:rsidP="00E85F5E">
            <w:pPr>
              <w:spacing w:line="294"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680</w:t>
            </w:r>
          </w:p>
        </w:tc>
      </w:tr>
      <w:tr w:rsidR="00E85F5E" w:rsidTr="00E85F5E">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$2.00</w:t>
            </w:r>
          </w:p>
        </w:tc>
        <w:tc>
          <w:tcPr>
            <w:tcW w:w="7038" w:type="dxa"/>
          </w:tcPr>
          <w:p w:rsidR="00E85F5E" w:rsidRPr="00E85F5E" w:rsidRDefault="00E85F5E" w:rsidP="00E85F5E">
            <w:pPr>
              <w:spacing w:line="294"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700</w:t>
            </w:r>
          </w:p>
        </w:tc>
      </w:tr>
      <w:tr w:rsidR="00E85F5E" w:rsidTr="00E8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85F5E" w:rsidRDefault="00E85F5E" w:rsidP="00E85F5E">
            <w:pPr>
              <w:spacing w:line="294" w:lineRule="atLeast"/>
              <w:jc w:val="center"/>
              <w:textAlignment w:val="baseline"/>
              <w:rPr>
                <w:rFonts w:ascii="inherit" w:eastAsia="Times New Roman" w:hAnsi="inherit" w:cs="Helvetica"/>
                <w:color w:val="444444"/>
                <w:sz w:val="21"/>
                <w:szCs w:val="21"/>
                <w:bdr w:val="none" w:sz="0" w:space="0" w:color="auto" w:frame="1"/>
              </w:rPr>
            </w:pPr>
            <w:r>
              <w:rPr>
                <w:rFonts w:ascii="inherit" w:eastAsia="Times New Roman" w:hAnsi="inherit" w:cs="Helvetica"/>
                <w:color w:val="444444"/>
                <w:sz w:val="21"/>
                <w:szCs w:val="21"/>
                <w:bdr w:val="none" w:sz="0" w:space="0" w:color="auto" w:frame="1"/>
              </w:rPr>
              <w:t>$2.20</w:t>
            </w:r>
          </w:p>
        </w:tc>
        <w:tc>
          <w:tcPr>
            <w:tcW w:w="7038" w:type="dxa"/>
          </w:tcPr>
          <w:p w:rsidR="00E85F5E" w:rsidRPr="00E85F5E" w:rsidRDefault="00E85F5E" w:rsidP="00E85F5E">
            <w:pPr>
              <w:spacing w:line="294"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inherit" w:eastAsia="Times New Roman" w:hAnsi="inherit" w:cs="Helvetica"/>
                <w:b/>
                <w:color w:val="444444"/>
                <w:sz w:val="21"/>
                <w:szCs w:val="21"/>
                <w:bdr w:val="none" w:sz="0" w:space="0" w:color="auto" w:frame="1"/>
              </w:rPr>
            </w:pPr>
            <w:r w:rsidRPr="00E85F5E">
              <w:rPr>
                <w:rFonts w:ascii="inherit" w:eastAsia="Times New Roman" w:hAnsi="inherit" w:cs="Helvetica"/>
                <w:b/>
                <w:color w:val="444444"/>
                <w:sz w:val="21"/>
                <w:szCs w:val="21"/>
                <w:bdr w:val="none" w:sz="0" w:space="0" w:color="auto" w:frame="1"/>
              </w:rPr>
              <w:t>720</w:t>
            </w:r>
          </w:p>
        </w:tc>
      </w:tr>
    </w:tbl>
    <w:p w:rsidR="00E85F5E" w:rsidRDefault="00E85F5E" w:rsidP="00E85F5E">
      <w:pPr>
        <w:spacing w:line="294" w:lineRule="atLeast"/>
        <w:textAlignment w:val="baseline"/>
        <w:rPr>
          <w:rFonts w:ascii="inherit" w:eastAsia="Times New Roman" w:hAnsi="inherit" w:cs="Helvetica"/>
          <w:color w:val="444444"/>
          <w:sz w:val="21"/>
          <w:szCs w:val="21"/>
          <w:bdr w:val="none" w:sz="0" w:space="0" w:color="auto" w:frame="1"/>
        </w:rPr>
      </w:pP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Price is measured in dollars per gallon of gasoline and quantity supplied is measured in millions of gallons.</w:t>
      </w: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Here's the same information shown as a supply curve with quantity on the horizontal axis and the price per gallon on the vertical axis. Note that this is an exception to the normal rule in mathematics that the independent variable goes on the horizontal axis and the dependent variable goes on the vertical.</w:t>
      </w:r>
    </w:p>
    <w:p w:rsidR="00E85F5E" w:rsidRPr="00E85F5E" w:rsidRDefault="00E85F5E" w:rsidP="00E85F5E">
      <w:pPr>
        <w:spacing w:line="294" w:lineRule="atLeast"/>
        <w:jc w:val="center"/>
        <w:textAlignment w:val="baseline"/>
        <w:rPr>
          <w:rFonts w:ascii="inherit" w:eastAsia="Times New Roman" w:hAnsi="inherit" w:cs="Helvetica"/>
          <w:color w:val="444444"/>
          <w:sz w:val="21"/>
          <w:szCs w:val="21"/>
        </w:rPr>
      </w:pPr>
      <w:r w:rsidRPr="00E85F5E">
        <w:rPr>
          <w:rFonts w:ascii="inherit" w:eastAsia="Times New Roman" w:hAnsi="inherit" w:cs="Helvetica"/>
          <w:b/>
          <w:bCs/>
          <w:color w:val="444444"/>
          <w:sz w:val="21"/>
          <w:szCs w:val="21"/>
          <w:bdr w:val="none" w:sz="0" w:space="0" w:color="auto" w:frame="1"/>
        </w:rPr>
        <w:t>A supply curve for gasoline</w:t>
      </w:r>
    </w:p>
    <w:p w:rsidR="00E85F5E" w:rsidRPr="00E85F5E" w:rsidRDefault="00E85F5E" w:rsidP="00E85F5E">
      <w:pPr>
        <w:spacing w:after="0"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noProof/>
          <w:color w:val="444444"/>
          <w:sz w:val="21"/>
          <w:szCs w:val="21"/>
        </w:rPr>
        <w:lastRenderedPageBreak/>
        <w:drawing>
          <wp:inline distT="0" distB="0" distL="0" distR="0" wp14:anchorId="40C2C137" wp14:editId="0AED3C00">
            <wp:extent cx="5572125" cy="2819400"/>
            <wp:effectExtent l="0" t="0" r="9525" b="0"/>
            <wp:docPr id="1" name="Picture 1" descr="https://ka-perseus-images.s3.amazonaws.com/e8f9cf50a95ece06ae4353c617b79024162a0c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perseus-images.s3.amazonaws.com/e8f9cf50a95ece06ae4353c617b79024162a0c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2819400"/>
                    </a:xfrm>
                    <a:prstGeom prst="rect">
                      <a:avLst/>
                    </a:prstGeom>
                    <a:noFill/>
                    <a:ln>
                      <a:noFill/>
                    </a:ln>
                  </pic:spPr>
                </pic:pic>
              </a:graphicData>
            </a:graphic>
          </wp:inline>
        </w:drawing>
      </w:r>
    </w:p>
    <w:p w:rsidR="00E85F5E" w:rsidRPr="00E85F5E" w:rsidRDefault="00E85F5E" w:rsidP="00E85F5E">
      <w:pPr>
        <w:spacing w:line="294" w:lineRule="atLeast"/>
        <w:ind w:left="-15" w:right="-15"/>
        <w:textAlignment w:val="baseline"/>
        <w:rPr>
          <w:rFonts w:ascii="inherit" w:eastAsia="Times New Roman" w:hAnsi="inherit" w:cs="Helvetica"/>
          <w:color w:val="444444"/>
          <w:sz w:val="21"/>
          <w:szCs w:val="21"/>
          <w:bdr w:val="none" w:sz="0" w:space="0" w:color="auto" w:frame="1"/>
        </w:rPr>
      </w:pPr>
      <w:r w:rsidRPr="00E85F5E">
        <w:rPr>
          <w:rFonts w:ascii="inherit" w:eastAsia="Times New Roman" w:hAnsi="inherit" w:cs="Helvetica"/>
          <w:color w:val="444444"/>
          <w:sz w:val="21"/>
          <w:szCs w:val="21"/>
          <w:bdr w:val="none" w:sz="0" w:space="0" w:color="auto" w:frame="1"/>
        </w:rPr>
        <w:t>The graph shows an upward-sloping supply curve that represents the law of supply.</w:t>
      </w: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The supply curve is created by graphing the points from the supply schedule and then connecting them. The upward slope of the supply curve illustrates the law of supply — that a higher price leads to a higher quantity supplied, and vice versa.</w:t>
      </w: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The shape of supply curves will vary somewhat according to the product: steeper, flatter, straighter, or more curved. Nearly all supply curves, however, share a basic similarity: they slope up from left to right and illustrate the law of supply: as the price rises, say, from </w:t>
      </w:r>
      <w:r w:rsidRPr="00E85F5E">
        <w:rPr>
          <w:rFonts w:ascii="inherit" w:eastAsia="Times New Roman" w:hAnsi="inherit" w:cs="Helvetica"/>
          <w:color w:val="444444"/>
          <w:sz w:val="25"/>
          <w:szCs w:val="25"/>
          <w:bdr w:val="none" w:sz="0" w:space="0" w:color="auto" w:frame="1"/>
        </w:rPr>
        <w:t>\$1.00$1.00</w:t>
      </w:r>
      <w:r w:rsidRPr="00E85F5E">
        <w:rPr>
          <w:rFonts w:ascii="inherit" w:eastAsia="Times New Roman" w:hAnsi="inherit" w:cs="Helvetica"/>
          <w:color w:val="444444"/>
          <w:sz w:val="21"/>
          <w:szCs w:val="21"/>
          <w:bdr w:val="none" w:sz="0" w:space="0" w:color="auto" w:frame="1"/>
        </w:rPr>
        <w:t>dollar sign, 1, point, 00 per gallon to </w:t>
      </w:r>
      <w:r w:rsidRPr="00E85F5E">
        <w:rPr>
          <w:rFonts w:ascii="inherit" w:eastAsia="Times New Roman" w:hAnsi="inherit" w:cs="Helvetica"/>
          <w:color w:val="444444"/>
          <w:sz w:val="25"/>
          <w:szCs w:val="25"/>
          <w:bdr w:val="none" w:sz="0" w:space="0" w:color="auto" w:frame="1"/>
        </w:rPr>
        <w:t>\$2.20$2.20</w:t>
      </w:r>
      <w:r w:rsidRPr="00E85F5E">
        <w:rPr>
          <w:rFonts w:ascii="inherit" w:eastAsia="Times New Roman" w:hAnsi="inherit" w:cs="Helvetica"/>
          <w:color w:val="444444"/>
          <w:sz w:val="21"/>
          <w:szCs w:val="21"/>
          <w:bdr w:val="none" w:sz="0" w:space="0" w:color="auto" w:frame="1"/>
        </w:rPr>
        <w:t>dollar sign, 2, point, 20 per gallon, the quantity supplied increases from </w:t>
      </w:r>
      <w:r w:rsidRPr="00E85F5E">
        <w:rPr>
          <w:rFonts w:ascii="inherit" w:eastAsia="Times New Roman" w:hAnsi="inherit" w:cs="Helvetica"/>
          <w:color w:val="444444"/>
          <w:sz w:val="25"/>
          <w:szCs w:val="25"/>
          <w:bdr w:val="none" w:sz="0" w:space="0" w:color="auto" w:frame="1"/>
        </w:rPr>
        <w:t>500500</w:t>
      </w:r>
      <w:r w:rsidRPr="00E85F5E">
        <w:rPr>
          <w:rFonts w:ascii="inherit" w:eastAsia="Times New Roman" w:hAnsi="inherit" w:cs="Helvetica"/>
          <w:color w:val="444444"/>
          <w:sz w:val="21"/>
          <w:szCs w:val="21"/>
          <w:bdr w:val="none" w:sz="0" w:space="0" w:color="auto" w:frame="1"/>
        </w:rPr>
        <w:t>500 gallons to </w:t>
      </w:r>
      <w:r w:rsidRPr="00E85F5E">
        <w:rPr>
          <w:rFonts w:ascii="inherit" w:eastAsia="Times New Roman" w:hAnsi="inherit" w:cs="Helvetica"/>
          <w:color w:val="444444"/>
          <w:sz w:val="25"/>
          <w:szCs w:val="25"/>
          <w:bdr w:val="none" w:sz="0" w:space="0" w:color="auto" w:frame="1"/>
        </w:rPr>
        <w:t>720720</w:t>
      </w:r>
      <w:r w:rsidRPr="00E85F5E">
        <w:rPr>
          <w:rFonts w:ascii="inherit" w:eastAsia="Times New Roman" w:hAnsi="inherit" w:cs="Helvetica"/>
          <w:color w:val="444444"/>
          <w:sz w:val="21"/>
          <w:szCs w:val="21"/>
          <w:bdr w:val="none" w:sz="0" w:space="0" w:color="auto" w:frame="1"/>
        </w:rPr>
        <w:t>720 gallons. Conversely, as the price falls, the quantity supplied decreases.</w:t>
      </w:r>
    </w:p>
    <w:p w:rsidR="00E85F5E" w:rsidRPr="00E85F5E" w:rsidRDefault="00E85F5E" w:rsidP="00E85F5E">
      <w:pPr>
        <w:spacing w:line="294" w:lineRule="atLeast"/>
        <w:textAlignment w:val="baseline"/>
        <w:outlineLvl w:val="1"/>
        <w:rPr>
          <w:rFonts w:ascii="Helvetica" w:eastAsia="Times New Roman" w:hAnsi="Helvetica" w:cs="Helvetica"/>
          <w:b/>
          <w:bCs/>
          <w:color w:val="111111"/>
          <w:sz w:val="30"/>
          <w:szCs w:val="30"/>
        </w:rPr>
      </w:pPr>
      <w:r w:rsidRPr="00E85F5E">
        <w:rPr>
          <w:rFonts w:ascii="inherit" w:eastAsia="Times New Roman" w:hAnsi="inherit" w:cs="Helvetica"/>
          <w:b/>
          <w:bCs/>
          <w:color w:val="111111"/>
          <w:sz w:val="30"/>
          <w:szCs w:val="30"/>
          <w:bdr w:val="none" w:sz="0" w:space="0" w:color="auto" w:frame="1"/>
        </w:rPr>
        <w:t>The difference between supply and quantity supplied</w:t>
      </w:r>
    </w:p>
    <w:p w:rsidR="00E85F5E" w:rsidRPr="00E85F5E" w:rsidRDefault="00E85F5E" w:rsidP="00E85F5E">
      <w:pPr>
        <w:spacing w:line="294" w:lineRule="atLeast"/>
        <w:textAlignment w:val="baseline"/>
        <w:rPr>
          <w:rFonts w:ascii="inherit" w:eastAsia="Times New Roman" w:hAnsi="inherit" w:cs="Helvetica"/>
          <w:color w:val="444444"/>
          <w:sz w:val="21"/>
          <w:szCs w:val="21"/>
        </w:rPr>
      </w:pPr>
      <w:r w:rsidRPr="00E85F5E">
        <w:rPr>
          <w:rFonts w:ascii="inherit" w:eastAsia="Times New Roman" w:hAnsi="inherit" w:cs="Helvetica"/>
          <w:color w:val="444444"/>
          <w:sz w:val="21"/>
          <w:szCs w:val="21"/>
          <w:bdr w:val="none" w:sz="0" w:space="0" w:color="auto" w:frame="1"/>
        </w:rPr>
        <w:t>In economic terminology, supply is not the same as quantity supplied. When economists refer to supply, they mean the relationship between a range of prices and the quantities supplied at those prices, a relationship that can be illustrated with a supply curve or a supply schedule. When economists refer to quantity supplied, they mean only a certain point on the supply curve, or one quantity on the supply schedule. In short, supply refers to the curve and quantity supplied refers to a specific point on the curve.</w:t>
      </w:r>
    </w:p>
    <w:p w:rsidR="00710369" w:rsidRDefault="00710369"/>
    <w:sectPr w:rsidR="0071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160A"/>
    <w:multiLevelType w:val="multilevel"/>
    <w:tmpl w:val="7928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37DCE"/>
    <w:multiLevelType w:val="multilevel"/>
    <w:tmpl w:val="13F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E"/>
    <w:rsid w:val="00710369"/>
    <w:rsid w:val="00E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3BC1-13A6-41BB-A817-45D62745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E85F5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5736">
      <w:bodyDiv w:val="1"/>
      <w:marLeft w:val="0"/>
      <w:marRight w:val="0"/>
      <w:marTop w:val="0"/>
      <w:marBottom w:val="0"/>
      <w:divBdr>
        <w:top w:val="none" w:sz="0" w:space="0" w:color="auto"/>
        <w:left w:val="none" w:sz="0" w:space="0" w:color="auto"/>
        <w:bottom w:val="none" w:sz="0" w:space="0" w:color="auto"/>
        <w:right w:val="none" w:sz="0" w:space="0" w:color="auto"/>
      </w:divBdr>
      <w:divsChild>
        <w:div w:id="1538005643">
          <w:marLeft w:val="0"/>
          <w:marRight w:val="0"/>
          <w:marTop w:val="0"/>
          <w:marBottom w:val="0"/>
          <w:divBdr>
            <w:top w:val="single" w:sz="6" w:space="0" w:color="DDDDDD"/>
            <w:left w:val="none" w:sz="0" w:space="0" w:color="auto"/>
            <w:bottom w:val="none" w:sz="0" w:space="0" w:color="auto"/>
            <w:right w:val="none" w:sz="0" w:space="0" w:color="auto"/>
          </w:divBdr>
          <w:divsChild>
            <w:div w:id="1028022972">
              <w:marLeft w:val="0"/>
              <w:marRight w:val="0"/>
              <w:marTop w:val="0"/>
              <w:marBottom w:val="0"/>
              <w:divBdr>
                <w:top w:val="none" w:sz="0" w:space="0" w:color="auto"/>
                <w:left w:val="none" w:sz="0" w:space="0" w:color="auto"/>
                <w:bottom w:val="none" w:sz="0" w:space="0" w:color="auto"/>
                <w:right w:val="none" w:sz="0" w:space="0" w:color="auto"/>
              </w:divBdr>
              <w:divsChild>
                <w:div w:id="59449982">
                  <w:marLeft w:val="0"/>
                  <w:marRight w:val="0"/>
                  <w:marTop w:val="0"/>
                  <w:marBottom w:val="0"/>
                  <w:divBdr>
                    <w:top w:val="none" w:sz="0" w:space="0" w:color="auto"/>
                    <w:left w:val="none" w:sz="0" w:space="0" w:color="auto"/>
                    <w:bottom w:val="none" w:sz="0" w:space="0" w:color="auto"/>
                    <w:right w:val="none" w:sz="0" w:space="0" w:color="auto"/>
                  </w:divBdr>
                  <w:divsChild>
                    <w:div w:id="50275137">
                      <w:marLeft w:val="0"/>
                      <w:marRight w:val="0"/>
                      <w:marTop w:val="0"/>
                      <w:marBottom w:val="0"/>
                      <w:divBdr>
                        <w:top w:val="none" w:sz="0" w:space="0" w:color="auto"/>
                        <w:left w:val="none" w:sz="0" w:space="0" w:color="auto"/>
                        <w:bottom w:val="none" w:sz="0" w:space="0" w:color="auto"/>
                        <w:right w:val="none" w:sz="0" w:space="0" w:color="auto"/>
                      </w:divBdr>
                      <w:divsChild>
                        <w:div w:id="1969778175">
                          <w:marLeft w:val="0"/>
                          <w:marRight w:val="0"/>
                          <w:marTop w:val="0"/>
                          <w:marBottom w:val="0"/>
                          <w:divBdr>
                            <w:top w:val="none" w:sz="0" w:space="0" w:color="auto"/>
                            <w:left w:val="none" w:sz="0" w:space="0" w:color="auto"/>
                            <w:bottom w:val="none" w:sz="0" w:space="0" w:color="auto"/>
                            <w:right w:val="none" w:sz="0" w:space="0" w:color="auto"/>
                          </w:divBdr>
                          <w:divsChild>
                            <w:div w:id="1462074266">
                              <w:marLeft w:val="0"/>
                              <w:marRight w:val="0"/>
                              <w:marTop w:val="100"/>
                              <w:marBottom w:val="100"/>
                              <w:divBdr>
                                <w:top w:val="none" w:sz="0" w:space="0" w:color="auto"/>
                                <w:left w:val="none" w:sz="0" w:space="0" w:color="auto"/>
                                <w:bottom w:val="none" w:sz="0" w:space="0" w:color="auto"/>
                                <w:right w:val="none" w:sz="0" w:space="0" w:color="auto"/>
                              </w:divBdr>
                              <w:divsChild>
                                <w:div w:id="1866139534">
                                  <w:marLeft w:val="0"/>
                                  <w:marRight w:val="0"/>
                                  <w:marTop w:val="0"/>
                                  <w:marBottom w:val="0"/>
                                  <w:divBdr>
                                    <w:top w:val="none" w:sz="0" w:space="0" w:color="auto"/>
                                    <w:left w:val="none" w:sz="0" w:space="0" w:color="auto"/>
                                    <w:bottom w:val="none" w:sz="0" w:space="0" w:color="auto"/>
                                    <w:right w:val="none" w:sz="0" w:space="0" w:color="auto"/>
                                  </w:divBdr>
                                </w:div>
                              </w:divsChild>
                            </w:div>
                            <w:div w:id="20785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88403">
          <w:marLeft w:val="0"/>
          <w:marRight w:val="0"/>
          <w:marTop w:val="0"/>
          <w:marBottom w:val="0"/>
          <w:divBdr>
            <w:top w:val="none" w:sz="0" w:space="0" w:color="auto"/>
            <w:left w:val="none" w:sz="0" w:space="0" w:color="auto"/>
            <w:bottom w:val="none" w:sz="0" w:space="0" w:color="auto"/>
            <w:right w:val="none" w:sz="0" w:space="0" w:color="auto"/>
          </w:divBdr>
          <w:divsChild>
            <w:div w:id="112098629">
              <w:marLeft w:val="0"/>
              <w:marRight w:val="0"/>
              <w:marTop w:val="100"/>
              <w:marBottom w:val="100"/>
              <w:divBdr>
                <w:top w:val="none" w:sz="0" w:space="0" w:color="auto"/>
                <w:left w:val="none" w:sz="0" w:space="0" w:color="auto"/>
                <w:bottom w:val="none" w:sz="0" w:space="0" w:color="auto"/>
                <w:right w:val="none" w:sz="0" w:space="0" w:color="auto"/>
              </w:divBdr>
              <w:divsChild>
                <w:div w:id="1897937364">
                  <w:marLeft w:val="0"/>
                  <w:marRight w:val="0"/>
                  <w:marTop w:val="100"/>
                  <w:marBottom w:val="10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sChild>
                        <w:div w:id="1286305282">
                          <w:marLeft w:val="0"/>
                          <w:marRight w:val="0"/>
                          <w:marTop w:val="0"/>
                          <w:marBottom w:val="0"/>
                          <w:divBdr>
                            <w:top w:val="none" w:sz="0" w:space="0" w:color="auto"/>
                            <w:left w:val="none" w:sz="0" w:space="0" w:color="auto"/>
                            <w:bottom w:val="none" w:sz="0" w:space="0" w:color="auto"/>
                            <w:right w:val="none" w:sz="0" w:space="0" w:color="auto"/>
                          </w:divBdr>
                          <w:divsChild>
                            <w:div w:id="615143746">
                              <w:marLeft w:val="0"/>
                              <w:marRight w:val="0"/>
                              <w:marTop w:val="0"/>
                              <w:marBottom w:val="0"/>
                              <w:divBdr>
                                <w:top w:val="none" w:sz="0" w:space="0" w:color="auto"/>
                                <w:left w:val="none" w:sz="0" w:space="0" w:color="auto"/>
                                <w:bottom w:val="none" w:sz="0" w:space="0" w:color="auto"/>
                                <w:right w:val="none" w:sz="0" w:space="0" w:color="auto"/>
                              </w:divBdr>
                              <w:divsChild>
                                <w:div w:id="302808124">
                                  <w:marLeft w:val="0"/>
                                  <w:marRight w:val="0"/>
                                  <w:marTop w:val="0"/>
                                  <w:marBottom w:val="0"/>
                                  <w:divBdr>
                                    <w:top w:val="none" w:sz="0" w:space="0" w:color="auto"/>
                                    <w:left w:val="none" w:sz="0" w:space="0" w:color="auto"/>
                                    <w:bottom w:val="none" w:sz="0" w:space="0" w:color="auto"/>
                                    <w:right w:val="none" w:sz="0" w:space="0" w:color="auto"/>
                                  </w:divBdr>
                                  <w:divsChild>
                                    <w:div w:id="1214461544">
                                      <w:marLeft w:val="0"/>
                                      <w:marRight w:val="0"/>
                                      <w:marTop w:val="330"/>
                                      <w:marBottom w:val="330"/>
                                      <w:divBdr>
                                        <w:top w:val="none" w:sz="0" w:space="0" w:color="auto"/>
                                        <w:left w:val="none" w:sz="0" w:space="0" w:color="auto"/>
                                        <w:bottom w:val="none" w:sz="0" w:space="0" w:color="auto"/>
                                        <w:right w:val="none" w:sz="0" w:space="0" w:color="auto"/>
                                      </w:divBdr>
                                    </w:div>
                                    <w:div w:id="1713577421">
                                      <w:marLeft w:val="0"/>
                                      <w:marRight w:val="0"/>
                                      <w:marTop w:val="330"/>
                                      <w:marBottom w:val="330"/>
                                      <w:divBdr>
                                        <w:top w:val="none" w:sz="0" w:space="0" w:color="auto"/>
                                        <w:left w:val="none" w:sz="0" w:space="0" w:color="auto"/>
                                        <w:bottom w:val="none" w:sz="0" w:space="0" w:color="auto"/>
                                        <w:right w:val="none" w:sz="0" w:space="0" w:color="auto"/>
                                      </w:divBdr>
                                    </w:div>
                                    <w:div w:id="1143623590">
                                      <w:marLeft w:val="0"/>
                                      <w:marRight w:val="0"/>
                                      <w:marTop w:val="330"/>
                                      <w:marBottom w:val="330"/>
                                      <w:divBdr>
                                        <w:top w:val="none" w:sz="0" w:space="0" w:color="auto"/>
                                        <w:left w:val="none" w:sz="0" w:space="0" w:color="auto"/>
                                        <w:bottom w:val="none" w:sz="0" w:space="0" w:color="auto"/>
                                        <w:right w:val="none" w:sz="0" w:space="0" w:color="auto"/>
                                      </w:divBdr>
                                    </w:div>
                                    <w:div w:id="442966165">
                                      <w:marLeft w:val="0"/>
                                      <w:marRight w:val="0"/>
                                      <w:marTop w:val="330"/>
                                      <w:marBottom w:val="330"/>
                                      <w:divBdr>
                                        <w:top w:val="none" w:sz="0" w:space="0" w:color="auto"/>
                                        <w:left w:val="none" w:sz="0" w:space="0" w:color="auto"/>
                                        <w:bottom w:val="none" w:sz="0" w:space="0" w:color="auto"/>
                                        <w:right w:val="none" w:sz="0" w:space="0" w:color="auto"/>
                                      </w:divBdr>
                                      <w:divsChild>
                                        <w:div w:id="79044353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45022313">
                              <w:marLeft w:val="0"/>
                              <w:marRight w:val="0"/>
                              <w:marTop w:val="0"/>
                              <w:marBottom w:val="0"/>
                              <w:divBdr>
                                <w:top w:val="none" w:sz="0" w:space="0" w:color="auto"/>
                                <w:left w:val="none" w:sz="0" w:space="0" w:color="auto"/>
                                <w:bottom w:val="none" w:sz="0" w:space="0" w:color="auto"/>
                                <w:right w:val="none" w:sz="0" w:space="0" w:color="auto"/>
                              </w:divBdr>
                              <w:divsChild>
                                <w:div w:id="1044332743">
                                  <w:marLeft w:val="0"/>
                                  <w:marRight w:val="0"/>
                                  <w:marTop w:val="0"/>
                                  <w:marBottom w:val="0"/>
                                  <w:divBdr>
                                    <w:top w:val="none" w:sz="0" w:space="0" w:color="auto"/>
                                    <w:left w:val="none" w:sz="0" w:space="0" w:color="auto"/>
                                    <w:bottom w:val="none" w:sz="0" w:space="0" w:color="auto"/>
                                    <w:right w:val="none" w:sz="0" w:space="0" w:color="auto"/>
                                  </w:divBdr>
                                  <w:divsChild>
                                    <w:div w:id="1445225575">
                                      <w:marLeft w:val="0"/>
                                      <w:marRight w:val="0"/>
                                      <w:marTop w:val="330"/>
                                      <w:marBottom w:val="330"/>
                                      <w:divBdr>
                                        <w:top w:val="none" w:sz="0" w:space="0" w:color="auto"/>
                                        <w:left w:val="none" w:sz="0" w:space="0" w:color="auto"/>
                                        <w:bottom w:val="none" w:sz="0" w:space="0" w:color="auto"/>
                                        <w:right w:val="none" w:sz="0" w:space="0" w:color="auto"/>
                                      </w:divBdr>
                                    </w:div>
                                    <w:div w:id="660237673">
                                      <w:marLeft w:val="0"/>
                                      <w:marRight w:val="0"/>
                                      <w:marTop w:val="330"/>
                                      <w:marBottom w:val="330"/>
                                      <w:divBdr>
                                        <w:top w:val="none" w:sz="0" w:space="0" w:color="auto"/>
                                        <w:left w:val="none" w:sz="0" w:space="0" w:color="auto"/>
                                        <w:bottom w:val="none" w:sz="0" w:space="0" w:color="auto"/>
                                        <w:right w:val="none" w:sz="0" w:space="0" w:color="auto"/>
                                      </w:divBdr>
                                    </w:div>
                                    <w:div w:id="364211936">
                                      <w:marLeft w:val="0"/>
                                      <w:marRight w:val="0"/>
                                      <w:marTop w:val="330"/>
                                      <w:marBottom w:val="330"/>
                                      <w:divBdr>
                                        <w:top w:val="none" w:sz="0" w:space="0" w:color="auto"/>
                                        <w:left w:val="none" w:sz="0" w:space="0" w:color="auto"/>
                                        <w:bottom w:val="none" w:sz="0" w:space="0" w:color="auto"/>
                                        <w:right w:val="none" w:sz="0" w:space="0" w:color="auto"/>
                                      </w:divBdr>
                                      <w:divsChild>
                                        <w:div w:id="163516030">
                                          <w:marLeft w:val="0"/>
                                          <w:marRight w:val="0"/>
                                          <w:marTop w:val="330"/>
                                          <w:marBottom w:val="330"/>
                                          <w:divBdr>
                                            <w:top w:val="none" w:sz="0" w:space="0" w:color="auto"/>
                                            <w:left w:val="none" w:sz="0" w:space="0" w:color="auto"/>
                                            <w:bottom w:val="none" w:sz="0" w:space="0" w:color="auto"/>
                                            <w:right w:val="none" w:sz="0" w:space="0" w:color="auto"/>
                                          </w:divBdr>
                                        </w:div>
                                      </w:divsChild>
                                    </w:div>
                                    <w:div w:id="993027422">
                                      <w:marLeft w:val="0"/>
                                      <w:marRight w:val="0"/>
                                      <w:marTop w:val="330"/>
                                      <w:marBottom w:val="330"/>
                                      <w:divBdr>
                                        <w:top w:val="none" w:sz="0" w:space="0" w:color="auto"/>
                                        <w:left w:val="none" w:sz="0" w:space="0" w:color="auto"/>
                                        <w:bottom w:val="none" w:sz="0" w:space="0" w:color="auto"/>
                                        <w:right w:val="none" w:sz="0" w:space="0" w:color="auto"/>
                                      </w:divBdr>
                                    </w:div>
                                    <w:div w:id="1076896102">
                                      <w:marLeft w:val="0"/>
                                      <w:marRight w:val="0"/>
                                      <w:marTop w:val="330"/>
                                      <w:marBottom w:val="330"/>
                                      <w:divBdr>
                                        <w:top w:val="none" w:sz="0" w:space="0" w:color="auto"/>
                                        <w:left w:val="none" w:sz="0" w:space="0" w:color="auto"/>
                                        <w:bottom w:val="none" w:sz="0" w:space="0" w:color="auto"/>
                                        <w:right w:val="none" w:sz="0" w:space="0" w:color="auto"/>
                                      </w:divBdr>
                                      <w:divsChild>
                                        <w:div w:id="2101485965">
                                          <w:marLeft w:val="0"/>
                                          <w:marRight w:val="0"/>
                                          <w:marTop w:val="330"/>
                                          <w:marBottom w:val="330"/>
                                          <w:divBdr>
                                            <w:top w:val="none" w:sz="0" w:space="0" w:color="auto"/>
                                            <w:left w:val="none" w:sz="0" w:space="0" w:color="auto"/>
                                            <w:bottom w:val="none" w:sz="0" w:space="0" w:color="auto"/>
                                            <w:right w:val="none" w:sz="0" w:space="0" w:color="auto"/>
                                          </w:divBdr>
                                        </w:div>
                                      </w:divsChild>
                                    </w:div>
                                    <w:div w:id="2025789250">
                                      <w:marLeft w:val="0"/>
                                      <w:marRight w:val="0"/>
                                      <w:marTop w:val="330"/>
                                      <w:marBottom w:val="330"/>
                                      <w:divBdr>
                                        <w:top w:val="none" w:sz="0" w:space="0" w:color="auto"/>
                                        <w:left w:val="none" w:sz="0" w:space="0" w:color="auto"/>
                                        <w:bottom w:val="none" w:sz="0" w:space="0" w:color="auto"/>
                                        <w:right w:val="none" w:sz="0" w:space="0" w:color="auto"/>
                                      </w:divBdr>
                                      <w:divsChild>
                                        <w:div w:id="1249727827">
                                          <w:marLeft w:val="0"/>
                                          <w:marRight w:val="0"/>
                                          <w:marTop w:val="330"/>
                                          <w:marBottom w:val="330"/>
                                          <w:divBdr>
                                            <w:top w:val="none" w:sz="0" w:space="0" w:color="auto"/>
                                            <w:left w:val="none" w:sz="0" w:space="0" w:color="auto"/>
                                            <w:bottom w:val="none" w:sz="0" w:space="0" w:color="auto"/>
                                            <w:right w:val="none" w:sz="0" w:space="0" w:color="auto"/>
                                          </w:divBdr>
                                        </w:div>
                                      </w:divsChild>
                                    </w:div>
                                    <w:div w:id="1463621152">
                                      <w:marLeft w:val="0"/>
                                      <w:marRight w:val="0"/>
                                      <w:marTop w:val="330"/>
                                      <w:marBottom w:val="330"/>
                                      <w:divBdr>
                                        <w:top w:val="none" w:sz="0" w:space="0" w:color="auto"/>
                                        <w:left w:val="none" w:sz="0" w:space="0" w:color="auto"/>
                                        <w:bottom w:val="none" w:sz="0" w:space="0" w:color="auto"/>
                                        <w:right w:val="none" w:sz="0" w:space="0" w:color="auto"/>
                                      </w:divBdr>
                                      <w:divsChild>
                                        <w:div w:id="153573107">
                                          <w:marLeft w:val="0"/>
                                          <w:marRight w:val="0"/>
                                          <w:marTop w:val="330"/>
                                          <w:marBottom w:val="330"/>
                                          <w:divBdr>
                                            <w:top w:val="none" w:sz="0" w:space="0" w:color="auto"/>
                                            <w:left w:val="none" w:sz="0" w:space="0" w:color="auto"/>
                                            <w:bottom w:val="none" w:sz="0" w:space="0" w:color="auto"/>
                                            <w:right w:val="none" w:sz="0" w:space="0" w:color="auto"/>
                                          </w:divBdr>
                                          <w:divsChild>
                                            <w:div w:id="1321160019">
                                              <w:marLeft w:val="0"/>
                                              <w:marRight w:val="0"/>
                                              <w:marTop w:val="0"/>
                                              <w:marBottom w:val="0"/>
                                              <w:divBdr>
                                                <w:top w:val="none" w:sz="0" w:space="0" w:color="auto"/>
                                                <w:left w:val="none" w:sz="0" w:space="0" w:color="auto"/>
                                                <w:bottom w:val="none" w:sz="0" w:space="0" w:color="auto"/>
                                                <w:right w:val="none" w:sz="0" w:space="0" w:color="auto"/>
                                              </w:divBdr>
                                              <w:divsChild>
                                                <w:div w:id="483357069">
                                                  <w:marLeft w:val="0"/>
                                                  <w:marRight w:val="0"/>
                                                  <w:marTop w:val="0"/>
                                                  <w:marBottom w:val="0"/>
                                                  <w:divBdr>
                                                    <w:top w:val="none" w:sz="0" w:space="0" w:color="auto"/>
                                                    <w:left w:val="none" w:sz="0" w:space="0" w:color="auto"/>
                                                    <w:bottom w:val="none" w:sz="0" w:space="0" w:color="auto"/>
                                                    <w:right w:val="none" w:sz="0" w:space="0" w:color="auto"/>
                                                  </w:divBdr>
                                                  <w:divsChild>
                                                    <w:div w:id="1736009557">
                                                      <w:marLeft w:val="0"/>
                                                      <w:marRight w:val="0"/>
                                                      <w:marTop w:val="0"/>
                                                      <w:marBottom w:val="0"/>
                                                      <w:divBdr>
                                                        <w:top w:val="none" w:sz="0" w:space="0" w:color="auto"/>
                                                        <w:left w:val="none" w:sz="0" w:space="0" w:color="auto"/>
                                                        <w:bottom w:val="none" w:sz="0" w:space="0" w:color="auto"/>
                                                        <w:right w:val="none" w:sz="0" w:space="0" w:color="auto"/>
                                                      </w:divBdr>
                                                      <w:divsChild>
                                                        <w:div w:id="653333521">
                                                          <w:marLeft w:val="0"/>
                                                          <w:marRight w:val="0"/>
                                                          <w:marTop w:val="330"/>
                                                          <w:marBottom w:val="330"/>
                                                          <w:divBdr>
                                                            <w:top w:val="none" w:sz="0" w:space="0" w:color="auto"/>
                                                            <w:left w:val="none" w:sz="0" w:space="0" w:color="auto"/>
                                                            <w:bottom w:val="none" w:sz="0" w:space="0" w:color="auto"/>
                                                            <w:right w:val="none" w:sz="0" w:space="0" w:color="auto"/>
                                                          </w:divBdr>
                                                          <w:divsChild>
                                                            <w:div w:id="125018829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087726113">
                                                      <w:marLeft w:val="0"/>
                                                      <w:marRight w:val="0"/>
                                                      <w:marTop w:val="0"/>
                                                      <w:marBottom w:val="0"/>
                                                      <w:divBdr>
                                                        <w:top w:val="none" w:sz="0" w:space="0" w:color="auto"/>
                                                        <w:left w:val="none" w:sz="0" w:space="0" w:color="auto"/>
                                                        <w:bottom w:val="none" w:sz="0" w:space="0" w:color="auto"/>
                                                        <w:right w:val="none" w:sz="0" w:space="0" w:color="auto"/>
                                                      </w:divBdr>
                                                    </w:div>
                                                    <w:div w:id="494692053">
                                                      <w:marLeft w:val="0"/>
                                                      <w:marRight w:val="0"/>
                                                      <w:marTop w:val="0"/>
                                                      <w:marBottom w:val="0"/>
                                                      <w:divBdr>
                                                        <w:top w:val="none" w:sz="0" w:space="0" w:color="auto"/>
                                                        <w:left w:val="none" w:sz="0" w:space="0" w:color="auto"/>
                                                        <w:bottom w:val="none" w:sz="0" w:space="0" w:color="auto"/>
                                                        <w:right w:val="none" w:sz="0" w:space="0" w:color="auto"/>
                                                      </w:divBdr>
                                                      <w:divsChild>
                                                        <w:div w:id="1638997892">
                                                          <w:marLeft w:val="0"/>
                                                          <w:marRight w:val="0"/>
                                                          <w:marTop w:val="330"/>
                                                          <w:marBottom w:val="330"/>
                                                          <w:divBdr>
                                                            <w:top w:val="none" w:sz="0" w:space="0" w:color="auto"/>
                                                            <w:left w:val="none" w:sz="0" w:space="0" w:color="auto"/>
                                                            <w:bottom w:val="none" w:sz="0" w:space="0" w:color="auto"/>
                                                            <w:right w:val="none" w:sz="0" w:space="0" w:color="auto"/>
                                                          </w:divBdr>
                                                          <w:divsChild>
                                                            <w:div w:id="96137685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918053592">
                                                      <w:marLeft w:val="0"/>
                                                      <w:marRight w:val="0"/>
                                                      <w:marTop w:val="0"/>
                                                      <w:marBottom w:val="0"/>
                                                      <w:divBdr>
                                                        <w:top w:val="none" w:sz="0" w:space="0" w:color="auto"/>
                                                        <w:left w:val="none" w:sz="0" w:space="0" w:color="auto"/>
                                                        <w:bottom w:val="none" w:sz="0" w:space="0" w:color="auto"/>
                                                        <w:right w:val="none" w:sz="0" w:space="0" w:color="auto"/>
                                                      </w:divBdr>
                                                      <w:divsChild>
                                                        <w:div w:id="1290555913">
                                                          <w:marLeft w:val="0"/>
                                                          <w:marRight w:val="0"/>
                                                          <w:marTop w:val="0"/>
                                                          <w:marBottom w:val="0"/>
                                                          <w:divBdr>
                                                            <w:top w:val="none" w:sz="0" w:space="0" w:color="auto"/>
                                                            <w:left w:val="none" w:sz="0" w:space="0" w:color="auto"/>
                                                            <w:bottom w:val="none" w:sz="0" w:space="0" w:color="auto"/>
                                                            <w:right w:val="none" w:sz="0" w:space="0" w:color="auto"/>
                                                          </w:divBdr>
                                                          <w:divsChild>
                                                            <w:div w:id="1690133319">
                                                              <w:marLeft w:val="0"/>
                                                              <w:marRight w:val="0"/>
                                                              <w:marTop w:val="330"/>
                                                              <w:marBottom w:val="330"/>
                                                              <w:divBdr>
                                                                <w:top w:val="none" w:sz="0" w:space="0" w:color="auto"/>
                                                                <w:left w:val="none" w:sz="0" w:space="0" w:color="auto"/>
                                                                <w:bottom w:val="none" w:sz="0" w:space="0" w:color="auto"/>
                                                                <w:right w:val="none" w:sz="0" w:space="0" w:color="auto"/>
                                                              </w:divBdr>
                                                              <w:divsChild>
                                                                <w:div w:id="23077810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73000">
                                      <w:marLeft w:val="0"/>
                                      <w:marRight w:val="0"/>
                                      <w:marTop w:val="330"/>
                                      <w:marBottom w:val="330"/>
                                      <w:divBdr>
                                        <w:top w:val="none" w:sz="0" w:space="0" w:color="auto"/>
                                        <w:left w:val="none" w:sz="0" w:space="0" w:color="auto"/>
                                        <w:bottom w:val="none" w:sz="0" w:space="0" w:color="auto"/>
                                        <w:right w:val="none" w:sz="0" w:space="0" w:color="auto"/>
                                      </w:divBdr>
                                      <w:divsChild>
                                        <w:div w:id="129914722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45332915">
                              <w:marLeft w:val="0"/>
                              <w:marRight w:val="0"/>
                              <w:marTop w:val="0"/>
                              <w:marBottom w:val="0"/>
                              <w:divBdr>
                                <w:top w:val="none" w:sz="0" w:space="0" w:color="auto"/>
                                <w:left w:val="none" w:sz="0" w:space="0" w:color="auto"/>
                                <w:bottom w:val="none" w:sz="0" w:space="0" w:color="auto"/>
                                <w:right w:val="none" w:sz="0" w:space="0" w:color="auto"/>
                              </w:divBdr>
                              <w:divsChild>
                                <w:div w:id="1963226358">
                                  <w:marLeft w:val="0"/>
                                  <w:marRight w:val="0"/>
                                  <w:marTop w:val="0"/>
                                  <w:marBottom w:val="0"/>
                                  <w:divBdr>
                                    <w:top w:val="none" w:sz="0" w:space="0" w:color="auto"/>
                                    <w:left w:val="none" w:sz="0" w:space="0" w:color="auto"/>
                                    <w:bottom w:val="none" w:sz="0" w:space="0" w:color="auto"/>
                                    <w:right w:val="none" w:sz="0" w:space="0" w:color="auto"/>
                                  </w:divBdr>
                                  <w:divsChild>
                                    <w:div w:id="619072760">
                                      <w:marLeft w:val="0"/>
                                      <w:marRight w:val="0"/>
                                      <w:marTop w:val="330"/>
                                      <w:marBottom w:val="330"/>
                                      <w:divBdr>
                                        <w:top w:val="none" w:sz="0" w:space="0" w:color="auto"/>
                                        <w:left w:val="none" w:sz="0" w:space="0" w:color="auto"/>
                                        <w:bottom w:val="none" w:sz="0" w:space="0" w:color="auto"/>
                                        <w:right w:val="none" w:sz="0" w:space="0" w:color="auto"/>
                                      </w:divBdr>
                                    </w:div>
                                    <w:div w:id="91511761">
                                      <w:marLeft w:val="0"/>
                                      <w:marRight w:val="0"/>
                                      <w:marTop w:val="330"/>
                                      <w:marBottom w:val="330"/>
                                      <w:divBdr>
                                        <w:top w:val="none" w:sz="0" w:space="0" w:color="auto"/>
                                        <w:left w:val="none" w:sz="0" w:space="0" w:color="auto"/>
                                        <w:bottom w:val="none" w:sz="0" w:space="0" w:color="auto"/>
                                        <w:right w:val="none" w:sz="0" w:space="0" w:color="auto"/>
                                      </w:divBdr>
                                      <w:divsChild>
                                        <w:div w:id="156922428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1</cp:revision>
  <dcterms:created xsi:type="dcterms:W3CDTF">2016-03-11T01:58:00Z</dcterms:created>
  <dcterms:modified xsi:type="dcterms:W3CDTF">2016-03-11T02:06:00Z</dcterms:modified>
</cp:coreProperties>
</file>